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80" w:rsidRDefault="00750A80" w:rsidP="00750A80">
      <w:pPr>
        <w:pStyle w:val="Overskrift1"/>
        <w:rPr>
          <w:rFonts w:eastAsia="Times New Roman"/>
          <w:lang w:eastAsia="da-DK"/>
        </w:rPr>
      </w:pPr>
      <w:r>
        <w:rPr>
          <w:rFonts w:eastAsia="Times New Roman"/>
          <w:lang w:eastAsia="da-DK"/>
        </w:rPr>
        <w:t>Eksamensregler</w:t>
      </w:r>
      <w:bookmarkStart w:id="0" w:name="_GoBack"/>
      <w:bookmarkEnd w:id="0"/>
    </w:p>
    <w:p w:rsidR="00750A80" w:rsidRPr="00750A80" w:rsidRDefault="00750A80" w:rsidP="00750A80">
      <w:pPr>
        <w:outlineLvl w:val="1"/>
        <w:rPr>
          <w:rFonts w:ascii="Calibri" w:eastAsia="Times New Roman" w:hAnsi="Calibri" w:cs="Calibri"/>
          <w:b/>
          <w:bCs/>
          <w:color w:val="2E75B5"/>
          <w:sz w:val="28"/>
          <w:szCs w:val="28"/>
          <w:lang w:eastAsia="da-DK"/>
        </w:rPr>
      </w:pPr>
      <w:r w:rsidRPr="00750A80">
        <w:rPr>
          <w:rFonts w:ascii="Calibri" w:eastAsia="Times New Roman" w:hAnsi="Calibri" w:cs="Calibri"/>
          <w:b/>
          <w:bCs/>
          <w:color w:val="2E75B5"/>
          <w:sz w:val="28"/>
          <w:szCs w:val="28"/>
          <w:lang w:eastAsia="da-DK"/>
        </w:rPr>
        <w:t>Prøve- og eksamensperiode</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Der er i løbet af gymnasietiden både mundtlige og skriftlige prøver og eksaminer. I slutningen af maj og i juni måned er der sommereksamen, og i august det efterfølgende skoleår afvikles eventuel sygeeksamen. I 1g afsluttes naturvidenskabeligt grundforløb (nv) med en mundtlig eksamen og almen sprogforståelse (ap) med en skriftlig eksamen ved afslutning af grundforløbet i ugerne efter efterårsferien. Derudover afvikles også skriftlige og mundtlige prøver i løbet af skoleåret.</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1"/>
        <w:rPr>
          <w:rFonts w:ascii="Calibri" w:eastAsia="Times New Roman" w:hAnsi="Calibri" w:cs="Calibri"/>
          <w:b/>
          <w:bCs/>
          <w:color w:val="2E75B5"/>
          <w:sz w:val="28"/>
          <w:szCs w:val="28"/>
          <w:lang w:eastAsia="da-DK"/>
        </w:rPr>
      </w:pPr>
      <w:r w:rsidRPr="00750A80">
        <w:rPr>
          <w:rFonts w:ascii="Calibri" w:eastAsia="Times New Roman" w:hAnsi="Calibri" w:cs="Calibri"/>
          <w:b/>
          <w:bCs/>
          <w:color w:val="2E75B5"/>
          <w:sz w:val="28"/>
          <w:szCs w:val="28"/>
          <w:lang w:eastAsia="da-DK"/>
        </w:rPr>
        <w:t>Antal prøver og udtræk af prøvefag</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En studentereksamen består af en række obligatoriske og valgfrie fag på forskellige niveauer, og gennemsnittet af en studentereksamen beregnes som et vægtet gennemsnit af årskarakterer og eksamenskarakterer.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Man skal i alt til 10 studentereksaminer i løbet af gymnasietiden, hvor de fleste eksaminer vil være i 3g. Det er sikkert, at dansk afsluttes med en skriftlig eksamen. Det er også sikkert at man til sommereksamen i 3g skal til en mundtlig eksamen i studieretningsprojektet (SRP), som er skrevet i løbet af foråret i 3g. Mundtlig eksamen i SRP er betinget af, at der foreligger et skriftligt produkt jf. Pkt. 4.2.3 fra SRP-læreplanen - stx, august 2017.</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xml:space="preserve">De resterende 8 studentereksaminer udtrækkes blandt de mulige mundtlige og skriftlige prøver som afsluttes i 1g, 2g eller 3g. Det betyder, at man ikke på forhånd ved, hvilke fag man skal til eksamen i. Man kan dog være sikker på, at de fag man har på A-niveau (dog ikke historie) som minimum afsluttes med enten til mundtlig eller skriftlig eksamen. </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Elever med 5 A-niveaufag skal til endnu en eksamen, så de i alt har 11 studentereksaminer.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Man skal som udgangspunkt efter 2.g. have været til to studentereksamener ud over nv og ap.</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Hvis man i 1.g. har været til eksamen i et fag, som vælges som valgfag i 3.g., tæller 1.g. prøven ikke med i de 10 studentereksaminer.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I løbet af gymnasietiden skal man yderligere til mindst 5 interne årsprøver.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1"/>
        <w:rPr>
          <w:rFonts w:ascii="Calibri" w:eastAsia="Times New Roman" w:hAnsi="Calibri" w:cs="Calibri"/>
          <w:b/>
          <w:bCs/>
          <w:color w:val="2E75B5"/>
          <w:sz w:val="28"/>
          <w:szCs w:val="28"/>
          <w:lang w:eastAsia="da-DK"/>
        </w:rPr>
      </w:pPr>
      <w:r w:rsidRPr="00750A80">
        <w:rPr>
          <w:rFonts w:ascii="Calibri" w:eastAsia="Times New Roman" w:hAnsi="Calibri" w:cs="Calibri"/>
          <w:b/>
          <w:bCs/>
          <w:color w:val="2E75B5"/>
          <w:sz w:val="28"/>
          <w:szCs w:val="28"/>
          <w:lang w:eastAsia="da-DK"/>
        </w:rPr>
        <w:t>Sygdom</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xml:space="preserve">Hvis du bliver syg og dermed bliver forhindret i at deltage i en skriftlig eller en mundtlig prøve skal du ringe til skolen på </w:t>
      </w:r>
      <w:proofErr w:type="gramStart"/>
      <w:r w:rsidRPr="00750A80">
        <w:rPr>
          <w:rFonts w:ascii="Calibri" w:eastAsia="Times New Roman" w:hAnsi="Calibri" w:cs="Calibri"/>
          <w:sz w:val="22"/>
          <w:szCs w:val="22"/>
          <w:lang w:eastAsia="da-DK"/>
        </w:rPr>
        <w:t>telefon nr.</w:t>
      </w:r>
      <w:proofErr w:type="gramEnd"/>
      <w:r w:rsidRPr="00750A80">
        <w:rPr>
          <w:rFonts w:ascii="Calibri" w:eastAsia="Times New Roman" w:hAnsi="Calibri" w:cs="Calibri"/>
          <w:sz w:val="22"/>
          <w:szCs w:val="22"/>
          <w:lang w:eastAsia="da-DK"/>
        </w:rPr>
        <w:t>: 7580 1844. Sygdommen skal efterfølgende dokumenteres ved en lægeattest, som du selv skal afholde udgiften til. Se i øvrigt længere nede.</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1"/>
        <w:rPr>
          <w:rFonts w:ascii="Calibri" w:eastAsia="Times New Roman" w:hAnsi="Calibri" w:cs="Calibri"/>
          <w:b/>
          <w:bCs/>
          <w:color w:val="2E75B5"/>
          <w:sz w:val="28"/>
          <w:szCs w:val="28"/>
          <w:lang w:eastAsia="da-DK"/>
        </w:rPr>
      </w:pPr>
      <w:r w:rsidRPr="00750A80">
        <w:rPr>
          <w:rFonts w:ascii="Calibri" w:eastAsia="Times New Roman" w:hAnsi="Calibri" w:cs="Calibri"/>
          <w:b/>
          <w:bCs/>
          <w:color w:val="2E75B5"/>
          <w:sz w:val="28"/>
          <w:szCs w:val="28"/>
          <w:lang w:eastAsia="da-DK"/>
        </w:rPr>
        <w:t>Generelle regler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xml:space="preserve">I henhold til "Bekendtgørelse om prøver og eksamen i de almene og studieforberedende ungdoms- og voksenuddannelser" som kan findes </w:t>
      </w:r>
      <w:hyperlink r:id="rId4" w:history="1">
        <w:r w:rsidRPr="00750A80">
          <w:rPr>
            <w:rFonts w:ascii="Calibri" w:eastAsia="Times New Roman" w:hAnsi="Calibri" w:cs="Calibri"/>
            <w:color w:val="0000FF"/>
            <w:sz w:val="22"/>
            <w:szCs w:val="22"/>
            <w:u w:val="single"/>
            <w:lang w:eastAsia="da-DK"/>
          </w:rPr>
          <w:t>her</w:t>
        </w:r>
      </w:hyperlink>
      <w:r w:rsidRPr="00750A80">
        <w:rPr>
          <w:rFonts w:ascii="Calibri" w:eastAsia="Times New Roman" w:hAnsi="Calibri" w:cs="Calibri"/>
          <w:sz w:val="22"/>
          <w:szCs w:val="22"/>
          <w:lang w:eastAsia="da-DK"/>
        </w:rPr>
        <w:t xml:space="preserve"> gælder der yderligere følgende generelle regler: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Konsekvenser af sygdom eller udeblivelse af andre uforudseelige grunde, jf. § 9:</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9.</w:t>
      </w:r>
      <w:r w:rsidRPr="00750A80">
        <w:rPr>
          <w:rFonts w:ascii="Tahoma" w:eastAsia="Times New Roman" w:hAnsi="Tahoma" w:cs="Tahoma"/>
          <w:color w:val="000000"/>
          <w:sz w:val="20"/>
          <w:szCs w:val="20"/>
          <w:shd w:val="clear" w:color="auto" w:fill="FFFFFF"/>
          <w:lang w:eastAsia="da-DK"/>
        </w:rPr>
        <w:t> En eksaminand, der har været forhindret i at gennemføre en prøve på grund af dokumenteret sygdom eller anden uforudseelig grund, skal have mulighed for at aflægge prøven snarest muligt.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2.</w:t>
      </w:r>
      <w:r w:rsidRPr="00750A80">
        <w:rPr>
          <w:rFonts w:ascii="Tahoma" w:eastAsia="Times New Roman" w:hAnsi="Tahoma" w:cs="Tahoma"/>
          <w:color w:val="000000"/>
          <w:sz w:val="20"/>
          <w:szCs w:val="20"/>
          <w:shd w:val="clear" w:color="auto" w:fill="FFFFFF"/>
          <w:lang w:eastAsia="da-DK"/>
        </w:rPr>
        <w:t> Institutionen kan bestemme, at sygeprøve gennemføres ved forlængelse af allerede fastsatte afleveringsfrister for projektopgaver og andre opgaver, der forudsætter afleveringsfrister.</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Hvornår en prøve er begyndt, jf. § 16:</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16.</w:t>
      </w:r>
      <w:r w:rsidRPr="00750A80">
        <w:rPr>
          <w:rFonts w:ascii="Tahoma" w:eastAsia="Times New Roman" w:hAnsi="Tahoma" w:cs="Tahoma"/>
          <w:color w:val="000000"/>
          <w:sz w:val="20"/>
          <w:szCs w:val="20"/>
          <w:shd w:val="clear" w:color="auto" w:fill="FFFFFF"/>
          <w:lang w:eastAsia="da-DK"/>
        </w:rPr>
        <w:t> En prøve er begyndt, når uddelingen af opgaverne er begyndt, eller når eksaminanden er blevet gjort bekendt med prøvespørgsmålet, opgaven, opgavetitlen, forberedelsesmaterialet eller lignende.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lastRenderedPageBreak/>
        <w:t>Stk. 2.</w:t>
      </w:r>
      <w:r w:rsidRPr="00750A80">
        <w:rPr>
          <w:rFonts w:ascii="Tahoma" w:eastAsia="Times New Roman" w:hAnsi="Tahoma" w:cs="Tahoma"/>
          <w:color w:val="000000"/>
          <w:sz w:val="20"/>
          <w:szCs w:val="20"/>
          <w:shd w:val="clear" w:color="auto" w:fill="FFFFFF"/>
          <w:lang w:eastAsia="da-DK"/>
        </w:rPr>
        <w:t> Prøven afvikles inden for den i læreplanen fastsatte tidsramme. En eventuel forberedelsestid indeholder tid til udlevering af opgave og materiale. Eksaminationstiden ved en prøve med mundtlig besvarelse indeholder tid til votering og karakterfastsættelse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Konsekvenser af at komme for sent eller udeblive, jf. § 17:</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17.</w:t>
      </w:r>
      <w:r w:rsidRPr="00750A80">
        <w:rPr>
          <w:rFonts w:ascii="Tahoma" w:eastAsia="Times New Roman" w:hAnsi="Tahoma" w:cs="Tahoma"/>
          <w:color w:val="000000"/>
          <w:sz w:val="20"/>
          <w:szCs w:val="20"/>
          <w:shd w:val="clear" w:color="auto" w:fill="FFFFFF"/>
          <w:lang w:eastAsia="da-DK"/>
        </w:rPr>
        <w:t> En eksaminand, der udebliver fra eller kommer for sent til en prøve, har ikke krav på at aflægge prøven.</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2.</w:t>
      </w:r>
      <w:r w:rsidRPr="00750A80">
        <w:rPr>
          <w:rFonts w:ascii="Tahoma" w:eastAsia="Times New Roman" w:hAnsi="Tahoma" w:cs="Tahoma"/>
          <w:color w:val="000000"/>
          <w:sz w:val="20"/>
          <w:szCs w:val="20"/>
          <w:shd w:val="clear" w:color="auto" w:fill="FFFFFF"/>
          <w:lang w:eastAsia="da-DK"/>
        </w:rPr>
        <w:t> Hvis det anses for udelukket, at en eksaminand, der kommer for sent til en skriftlig prøve, kan have modtaget nogen oplysning om opgaven, og hvis institutionen skønner, at forsinkelsen er rimeligt begrundet og af kortere varighed, kan eksaminanden få lov til at deltage i prøven. Prøvetiden forlænges ikke. Institutionen kan i særlige tilfælde beslutte, at prøvetiden forlænges.</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3.</w:t>
      </w:r>
      <w:r w:rsidRPr="00750A80">
        <w:rPr>
          <w:rFonts w:ascii="Tahoma" w:eastAsia="Times New Roman" w:hAnsi="Tahoma" w:cs="Tahoma"/>
          <w:color w:val="000000"/>
          <w:sz w:val="20"/>
          <w:szCs w:val="20"/>
          <w:shd w:val="clear" w:color="auto" w:fill="FFFFFF"/>
          <w:lang w:eastAsia="da-DK"/>
        </w:rPr>
        <w:t> Hvis institutionen skønner, at udeblivelsen eller forsinkelsen er rimeligt begrundet, kan eksaminanden få tilbud om at aflægge prøve på et senere tidspunkt.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Særlige prøvevilkår, jf. § 19:</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rPr>
          <w:rFonts w:ascii="Calibri" w:eastAsia="Times New Roman" w:hAnsi="Calibri" w:cs="Calibri"/>
          <w:sz w:val="22"/>
          <w:szCs w:val="22"/>
          <w:lang w:eastAsia="da-DK"/>
        </w:rPr>
      </w:pPr>
      <w:r w:rsidRPr="00750A80">
        <w:rPr>
          <w:rFonts w:ascii="Tahoma" w:eastAsia="Times New Roman" w:hAnsi="Tahoma" w:cs="Tahoma"/>
          <w:b/>
          <w:bCs/>
          <w:color w:val="000000"/>
          <w:sz w:val="20"/>
          <w:szCs w:val="20"/>
          <w:shd w:val="clear" w:color="auto" w:fill="FFFFFF"/>
          <w:lang w:eastAsia="da-DK"/>
        </w:rPr>
        <w:t>§ 19.</w:t>
      </w:r>
      <w:r w:rsidRPr="00750A80">
        <w:rPr>
          <w:rFonts w:ascii="Calibri" w:eastAsia="Times New Roman" w:hAnsi="Calibri" w:cs="Calibri"/>
          <w:sz w:val="22"/>
          <w:szCs w:val="22"/>
          <w:lang w:eastAsia="da-DK"/>
        </w:rPr>
        <w:t> Institutionen træffer afgørelse om tilbud af særlige prøvevilkår til eksaminander med psykisk eller fysisk funktionsnedsættelse eller med andre tilsvarende specifikke vanskeligheder, når dette er nødvendigt for at ligestille disse eksaminander med andre i prøvesituationen. Det er en forudsætning, at der med tilbuddet ikke sker en ændring af prøvens niveau.</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shd w:val="clear" w:color="auto" w:fill="FFFFFF"/>
          <w:lang w:eastAsia="da-DK"/>
        </w:rPr>
        <w:t>Konsekvenser af at skaffe sig eller yde uretmæssig hjælp, jf. § 20:</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Klageprocedure og klagefrister, jf. kapitel 10:</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47.</w:t>
      </w:r>
      <w:r w:rsidRPr="00750A80">
        <w:rPr>
          <w:rFonts w:ascii="Tahoma" w:eastAsia="Times New Roman" w:hAnsi="Tahoma" w:cs="Tahoma"/>
          <w:color w:val="000000"/>
          <w:sz w:val="20"/>
          <w:szCs w:val="20"/>
          <w:shd w:val="clear" w:color="auto" w:fill="FFFFFF"/>
          <w:lang w:eastAsia="da-DK"/>
        </w:rPr>
        <w:t> Klage over prøver indgives af eksaminanden til institutionen. Klagen skal være skriftlig og begrundet. Hvis eksaminanden er undergivet forældremyndighed, kan klagen tillige indgives af forældremyndighedens indehaver. Hvis eksaminanden ikke er undergivet forældremyndighed, kan klage indgives på eksaminandens vegne, såfremt eksaminanden har givet vedkommende fuldmagt hertil.</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2.</w:t>
      </w:r>
      <w:r w:rsidRPr="00750A80">
        <w:rPr>
          <w:rFonts w:ascii="Tahoma" w:eastAsia="Times New Roman" w:hAnsi="Tahoma" w:cs="Tahoma"/>
          <w:color w:val="000000"/>
          <w:sz w:val="20"/>
          <w:szCs w:val="20"/>
          <w:shd w:val="clear" w:color="auto" w:fill="FFFFFF"/>
          <w:lang w:eastAsia="da-DK"/>
        </w:rPr>
        <w:t> Klage indgives senest 2 uger efter, at bedømmelsen af prøven er bekendtgjort på sædvanlig måde.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lang w:eastAsia="da-DK"/>
        </w:rPr>
        <w:t> </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xml:space="preserve">Se mere om klageprocedure </w:t>
      </w:r>
      <w:hyperlink r:id="rId5" w:history="1">
        <w:r w:rsidRPr="00750A80">
          <w:rPr>
            <w:rFonts w:ascii="Calibri" w:eastAsia="Times New Roman" w:hAnsi="Calibri" w:cs="Calibri"/>
            <w:color w:val="0000FF"/>
            <w:sz w:val="22"/>
            <w:szCs w:val="22"/>
            <w:u w:val="single"/>
            <w:lang w:eastAsia="da-DK"/>
          </w:rPr>
          <w:t>her</w:t>
        </w:r>
      </w:hyperlink>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xml:space="preserve">I henhold til "Bekendtgørelse om visse regler om prøver og eksamen i de gymnasiale uddannelser" som kan findes </w:t>
      </w:r>
      <w:hyperlink r:id="rId6" w:history="1">
        <w:r w:rsidRPr="00750A80">
          <w:rPr>
            <w:rFonts w:ascii="Calibri" w:eastAsia="Times New Roman" w:hAnsi="Calibri" w:cs="Calibri"/>
            <w:color w:val="0000FF"/>
            <w:sz w:val="22"/>
            <w:szCs w:val="22"/>
            <w:u w:val="single"/>
            <w:lang w:eastAsia="da-DK"/>
          </w:rPr>
          <w:t>her</w:t>
        </w:r>
      </w:hyperlink>
      <w:r w:rsidRPr="00750A80">
        <w:rPr>
          <w:rFonts w:ascii="Calibri" w:eastAsia="Times New Roman" w:hAnsi="Calibri" w:cs="Calibri"/>
          <w:sz w:val="22"/>
          <w:szCs w:val="22"/>
          <w:lang w:eastAsia="da-DK"/>
        </w:rPr>
        <w:t xml:space="preserve"> gælder der yderligere følgende generelle regler:</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 xml:space="preserve">Tilladte </w:t>
      </w:r>
      <w:proofErr w:type="spellStart"/>
      <w:r w:rsidRPr="00750A80">
        <w:rPr>
          <w:rFonts w:ascii="Calibri" w:eastAsia="Times New Roman" w:hAnsi="Calibri" w:cs="Calibri"/>
          <w:b/>
          <w:bCs/>
          <w:color w:val="1F3763"/>
          <w:lang w:eastAsia="da-DK"/>
        </w:rPr>
        <w:t>hjælpemilder</w:t>
      </w:r>
      <w:proofErr w:type="spellEnd"/>
      <w:r w:rsidRPr="00750A80">
        <w:rPr>
          <w:rFonts w:ascii="Calibri" w:eastAsia="Times New Roman" w:hAnsi="Calibri" w:cs="Calibri"/>
          <w:b/>
          <w:bCs/>
          <w:color w:val="1F3763"/>
          <w:lang w:eastAsia="da-DK"/>
        </w:rPr>
        <w:t>, jf. §6:</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6.</w:t>
      </w:r>
      <w:r w:rsidRPr="00750A80">
        <w:rPr>
          <w:rFonts w:ascii="Tahoma" w:eastAsia="Times New Roman" w:hAnsi="Tahoma" w:cs="Tahoma"/>
          <w:color w:val="000000"/>
          <w:sz w:val="20"/>
          <w:szCs w:val="20"/>
          <w:shd w:val="clear" w:color="auto" w:fill="FFFFFF"/>
          <w:lang w:eastAsia="da-DK"/>
        </w:rPr>
        <w:t> Under prøven er det tilladt for eksaminanden at anvende hjælpemidler, herunder digitale, medmindre der for den enkelte prøve er fastsat begrænsninger.</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2.</w:t>
      </w:r>
      <w:r w:rsidRPr="00750A80">
        <w:rPr>
          <w:rFonts w:ascii="Tahoma" w:eastAsia="Times New Roman" w:hAnsi="Tahoma" w:cs="Tahoma"/>
          <w:color w:val="000000"/>
          <w:sz w:val="20"/>
          <w:szCs w:val="20"/>
          <w:shd w:val="clear" w:color="auto" w:fill="FFFFFF"/>
          <w:lang w:eastAsia="da-DK"/>
        </w:rPr>
        <w:t> Det er dog ikke tilladt for eksaminanden til prøven at medbringe udstyr, herunder mobiltelefoner og lignende, med hvilken eksaminanden kan kommunikere, eller som kan etablere adgang til internettet. Ved en prøve, hvor eksaminanden skal udarbejde og aflevere besvarelsen digitalt, er den enhed eller de enheder, hvormed eksaminanden udarbejder og afleverer besvarelsen, dog undtaget.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3.</w:t>
      </w:r>
      <w:r w:rsidRPr="00750A80">
        <w:rPr>
          <w:rFonts w:ascii="Tahoma" w:eastAsia="Times New Roman" w:hAnsi="Tahoma" w:cs="Tahoma"/>
          <w:color w:val="000000"/>
          <w:sz w:val="20"/>
          <w:szCs w:val="20"/>
          <w:shd w:val="clear" w:color="auto" w:fill="FFFFFF"/>
          <w:lang w:eastAsia="da-DK"/>
        </w:rPr>
        <w:t> Adgang til internettet under prøverne er ikke tilladt for eksaminanden, jf. dog stk. 4 og 5, medmindre der for den enkelte prøve er givet adgang hertil.</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4.</w:t>
      </w:r>
      <w:r w:rsidRPr="00750A80">
        <w:rPr>
          <w:rFonts w:ascii="Tahoma" w:eastAsia="Times New Roman" w:hAnsi="Tahoma" w:cs="Tahoma"/>
          <w:color w:val="000000"/>
          <w:sz w:val="20"/>
          <w:szCs w:val="20"/>
          <w:shd w:val="clear" w:color="auto" w:fill="FFFFFF"/>
          <w:lang w:eastAsia="da-DK"/>
        </w:rPr>
        <w:t> Eksaminanden kan under en prøve, hvor adgang til internettet ikke er tilladt efter stk. 3, anvende internettet, for så vidt angår digital adgang til undervisningsmateriale, der på institutionens foranledning er blevet anvendt i undervisningen, og som fremgår af undervisningsbeskrivelsen, såfremt det ikke kan medbringes og opbevares lokalt.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lastRenderedPageBreak/>
        <w:t>Stk. 5.</w:t>
      </w:r>
      <w:r w:rsidRPr="00750A80">
        <w:rPr>
          <w:rFonts w:ascii="Tahoma" w:eastAsia="Times New Roman" w:hAnsi="Tahoma" w:cs="Tahoma"/>
          <w:color w:val="000000"/>
          <w:sz w:val="20"/>
          <w:szCs w:val="20"/>
          <w:shd w:val="clear" w:color="auto" w:fill="FFFFFF"/>
          <w:lang w:eastAsia="da-DK"/>
        </w:rPr>
        <w:t> Egne notater og egne arbejder skal medbringes og opbevares lokalt under prøven. Eksaminanden har dog i tilfælde, hvor materialet har en sådan karakter, at det ikke kan opbevares lokalt, adgang til at tilgå materialet via internettet under prøven.</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6.</w:t>
      </w:r>
      <w:r w:rsidRPr="00750A80">
        <w:rPr>
          <w:rFonts w:ascii="Tahoma" w:eastAsia="Times New Roman" w:hAnsi="Tahoma" w:cs="Tahoma"/>
          <w:color w:val="000000"/>
          <w:sz w:val="20"/>
          <w:szCs w:val="20"/>
          <w:shd w:val="clear" w:color="auto" w:fill="FFFFFF"/>
          <w:lang w:eastAsia="da-DK"/>
        </w:rPr>
        <w:t> Reglerne i stk. 2-5 gælder ikke for en prøve, hvor eksaminanden under prøven ikke skal være til stede på institutionen eller et andet sted, som institutionen fastsætter for prøveafholdelsen.</w:t>
      </w:r>
    </w:p>
    <w:p w:rsidR="00750A80" w:rsidRPr="00750A80" w:rsidRDefault="00750A80" w:rsidP="00750A80">
      <w:pPr>
        <w:rPr>
          <w:rFonts w:ascii="Calibri" w:eastAsia="Times New Roman" w:hAnsi="Calibri" w:cs="Calibri"/>
          <w:sz w:val="22"/>
          <w:szCs w:val="22"/>
          <w:lang w:eastAsia="da-DK"/>
        </w:rPr>
      </w:pPr>
      <w:r w:rsidRPr="00750A80">
        <w:rPr>
          <w:rFonts w:ascii="Calibri" w:eastAsia="Times New Roman" w:hAnsi="Calibri" w:cs="Calibri"/>
          <w:sz w:val="22"/>
          <w:szCs w:val="22"/>
          <w:lang w:eastAsia="da-DK"/>
        </w:rPr>
        <w:t> </w:t>
      </w:r>
    </w:p>
    <w:p w:rsidR="00750A80" w:rsidRPr="00750A80" w:rsidRDefault="00750A80" w:rsidP="00750A80">
      <w:pPr>
        <w:outlineLvl w:val="2"/>
        <w:rPr>
          <w:rFonts w:ascii="Calibri" w:eastAsia="Times New Roman" w:hAnsi="Calibri" w:cs="Calibri"/>
          <w:b/>
          <w:bCs/>
          <w:color w:val="1F3763"/>
          <w:lang w:eastAsia="da-DK"/>
        </w:rPr>
      </w:pPr>
      <w:r w:rsidRPr="00750A80">
        <w:rPr>
          <w:rFonts w:ascii="Calibri" w:eastAsia="Times New Roman" w:hAnsi="Calibri" w:cs="Calibri"/>
          <w:b/>
          <w:bCs/>
          <w:color w:val="1F3763"/>
          <w:lang w:eastAsia="da-DK"/>
        </w:rPr>
        <w:t>Snyd, jf. §7:</w:t>
      </w:r>
    </w:p>
    <w:p w:rsidR="00750A80" w:rsidRPr="00750A80" w:rsidRDefault="00750A80" w:rsidP="00750A80">
      <w:pPr>
        <w:spacing w:before="200"/>
        <w:rPr>
          <w:rFonts w:ascii="Tahoma" w:eastAsia="Times New Roman" w:hAnsi="Tahoma" w:cs="Tahoma"/>
          <w:color w:val="000000"/>
          <w:sz w:val="20"/>
          <w:szCs w:val="20"/>
          <w:lang w:eastAsia="da-DK"/>
        </w:rPr>
      </w:pPr>
      <w:r w:rsidRPr="00750A80">
        <w:rPr>
          <w:rFonts w:ascii="Tahoma" w:eastAsia="Times New Roman" w:hAnsi="Tahoma" w:cs="Tahoma"/>
          <w:b/>
          <w:bCs/>
          <w:color w:val="000000"/>
          <w:sz w:val="20"/>
          <w:szCs w:val="20"/>
          <w:shd w:val="clear" w:color="auto" w:fill="FFFFFF"/>
          <w:lang w:eastAsia="da-DK"/>
        </w:rPr>
        <w:t>§ 7.</w:t>
      </w:r>
      <w:r w:rsidRPr="00750A80">
        <w:rPr>
          <w:rFonts w:ascii="Tahoma" w:eastAsia="Times New Roman" w:hAnsi="Tahoma" w:cs="Tahoma"/>
          <w:color w:val="000000"/>
          <w:sz w:val="20"/>
          <w:szCs w:val="20"/>
          <w:shd w:val="clear" w:color="auto" w:fill="FFFFFF"/>
          <w:lang w:eastAsia="da-DK"/>
        </w:rPr>
        <w:t> Besvarelsen skal være eksaminandens egen og selvstændige besvarelse. Såfremt hele eller dele af prøven afholdes som en gruppeprøve, skal besvarelsen, i det omfang dette følger af reglerne for prøven, være gruppens egen og selvstændige besvarelse.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2.</w:t>
      </w:r>
      <w:r w:rsidRPr="00750A80">
        <w:rPr>
          <w:rFonts w:ascii="Tahoma" w:eastAsia="Times New Roman" w:hAnsi="Tahoma" w:cs="Tahoma"/>
          <w:color w:val="000000"/>
          <w:sz w:val="20"/>
          <w:szCs w:val="20"/>
          <w:shd w:val="clear" w:color="auto" w:fill="FFFFFF"/>
          <w:lang w:eastAsia="da-DK"/>
        </w:rPr>
        <w:t> Institutionen bortviser eksaminanden fra prøven eller tildeler eksaminanden karakteren -3 (minus tre), hvis eksaminanden i forbindelse med en prøve foretager sig handlinger for at skaffe sig eller give en anden eksaminand uretmæssig hjælp til besvarelse af en opgave. Det samme gælder, hvis eksaminanden benytter ikke-tilladte hjælpemidler, udgiver andres arbejde for at være sit eget eller afleverer eget tidligere bedømt arbejde uden henvisning hertil.</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3.</w:t>
      </w:r>
      <w:r w:rsidRPr="00750A80">
        <w:rPr>
          <w:rFonts w:ascii="Tahoma" w:eastAsia="Times New Roman" w:hAnsi="Tahoma" w:cs="Tahoma"/>
          <w:color w:val="000000"/>
          <w:sz w:val="20"/>
          <w:szCs w:val="20"/>
          <w:shd w:val="clear" w:color="auto" w:fill="FFFFFF"/>
          <w:lang w:eastAsia="da-DK"/>
        </w:rPr>
        <w:t> Hvis en bedømmer under eller efter en prøve får en formodning om et af de i stk. 2 nævnte forhold, skal bedømmeren indberette det til institutionen.</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4.</w:t>
      </w:r>
      <w:r w:rsidRPr="00750A80">
        <w:rPr>
          <w:rFonts w:ascii="Tahoma" w:eastAsia="Times New Roman" w:hAnsi="Tahoma" w:cs="Tahoma"/>
          <w:color w:val="000000"/>
          <w:sz w:val="20"/>
          <w:szCs w:val="20"/>
          <w:shd w:val="clear" w:color="auto" w:fill="FFFFFF"/>
          <w:lang w:eastAsia="da-DK"/>
        </w:rPr>
        <w:t> Når en skriftlig opgavebesvarelse er udarbejdet af en gruppe af eksaminander, uden at den enkeltes bidrag kan konstateres, og opgavebesvarelsen indgår i bedømmelsesgrundlaget ved en efterfølgende mundtlig eksamination, har eksaminanderne et fælles ansvar for besvarelsen efter stk. 2. Hvis det imidlertid bliver godtgjort, at en eller flere af eksaminanderne i gruppen ikke har medvirket til overtrædelsen af eksamensreglerne, træffer institutionen i stedet afgørelse om, at den eller de pågældende skal aflægge ny prøve snarest muligt.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5.</w:t>
      </w:r>
      <w:r w:rsidRPr="00750A80">
        <w:rPr>
          <w:rFonts w:ascii="Tahoma" w:eastAsia="Times New Roman" w:hAnsi="Tahoma" w:cs="Tahoma"/>
          <w:color w:val="000000"/>
          <w:sz w:val="20"/>
          <w:szCs w:val="20"/>
          <w:shd w:val="clear" w:color="auto" w:fill="FFFFFF"/>
          <w:lang w:eastAsia="da-DK"/>
        </w:rPr>
        <w:t> Bortvisning fra en prøve efter stk. 2 medfører, at eventuelle karakterer bortfalder. Eksaminanden kan herefter aflægge prøven på ny. En sådan prøve afholdes i den følgende termin, hvor den pågældende prøve i forvejen afholdes, dog inden 1 år efter bortvisningen, jf. dog stk. 4, 2. pkt.</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6.</w:t>
      </w:r>
      <w:r w:rsidRPr="00750A80">
        <w:rPr>
          <w:rFonts w:ascii="Tahoma" w:eastAsia="Times New Roman" w:hAnsi="Tahoma" w:cs="Tahoma"/>
          <w:color w:val="000000"/>
          <w:sz w:val="20"/>
          <w:szCs w:val="20"/>
          <w:shd w:val="clear" w:color="auto" w:fill="FFFFFF"/>
          <w:lang w:eastAsia="da-DK"/>
        </w:rPr>
        <w:t> Institutionen kan bortvise eksaminanden fra prøven, hvis eksaminanden under prøveforløbet overtræder andre lokale eller centralt fastsatte eksamensregler end de i stk. 2 nævnte.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7.</w:t>
      </w:r>
      <w:r w:rsidRPr="00750A80">
        <w:rPr>
          <w:rFonts w:ascii="Tahoma" w:eastAsia="Times New Roman" w:hAnsi="Tahoma" w:cs="Tahoma"/>
          <w:color w:val="000000"/>
          <w:sz w:val="20"/>
          <w:szCs w:val="20"/>
          <w:shd w:val="clear" w:color="auto" w:fill="FFFFFF"/>
          <w:lang w:eastAsia="da-DK"/>
        </w:rPr>
        <w:t> En eksaminand skal ved aflevering af en skriftlig besvarelse skriftligt bekræfte,</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shd w:val="clear" w:color="auto" w:fill="FFFFFF"/>
          <w:lang w:eastAsia="da-DK"/>
        </w:rPr>
        <w:t>1) at besvarelsen er udfærdiget uden uretmæssig hjælp,</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shd w:val="clear" w:color="auto" w:fill="FFFFFF"/>
          <w:lang w:eastAsia="da-DK"/>
        </w:rPr>
        <w:t>2) at der alene er benyttet tilladte hjælpemidler,</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shd w:val="clear" w:color="auto" w:fill="FFFFFF"/>
          <w:lang w:eastAsia="da-DK"/>
        </w:rPr>
        <w:t>3) at eksaminanden ikke har udgivet en andens arbejde for sit eget, og</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color w:val="000000"/>
          <w:sz w:val="20"/>
          <w:szCs w:val="20"/>
          <w:shd w:val="clear" w:color="auto" w:fill="FFFFFF"/>
          <w:lang w:eastAsia="da-DK"/>
        </w:rPr>
        <w:t>4) at eksaminanden ikke har anvendt eget tidligere bedømt arbejde uden henvisning hertil, jf. stk. 1-4.</w:t>
      </w:r>
    </w:p>
    <w:p w:rsidR="00750A80" w:rsidRPr="00750A80" w:rsidRDefault="00750A80" w:rsidP="00750A80">
      <w:pPr>
        <w:rPr>
          <w:rFonts w:ascii="Tahoma" w:eastAsia="Times New Roman" w:hAnsi="Tahoma" w:cs="Tahoma"/>
          <w:color w:val="000000"/>
          <w:sz w:val="20"/>
          <w:szCs w:val="20"/>
          <w:lang w:eastAsia="da-DK"/>
        </w:rPr>
      </w:pPr>
      <w:r w:rsidRPr="00750A80">
        <w:rPr>
          <w:rFonts w:ascii="Tahoma" w:eastAsia="Times New Roman" w:hAnsi="Tahoma" w:cs="Tahoma"/>
          <w:i/>
          <w:iCs/>
          <w:color w:val="000000"/>
          <w:sz w:val="20"/>
          <w:szCs w:val="20"/>
          <w:shd w:val="clear" w:color="auto" w:fill="FFFFFF"/>
          <w:lang w:eastAsia="da-DK"/>
        </w:rPr>
        <w:t>Stk. 8.</w:t>
      </w:r>
      <w:r w:rsidRPr="00750A80">
        <w:rPr>
          <w:rFonts w:ascii="Tahoma" w:eastAsia="Times New Roman" w:hAnsi="Tahoma" w:cs="Tahoma"/>
          <w:color w:val="000000"/>
          <w:sz w:val="20"/>
          <w:szCs w:val="20"/>
          <w:shd w:val="clear" w:color="auto" w:fill="FFFFFF"/>
          <w:lang w:eastAsia="da-DK"/>
        </w:rPr>
        <w:t> Bekræftelsen efter stk. 7 kan ske digitalt.</w:t>
      </w:r>
    </w:p>
    <w:p w:rsidR="001E41A3" w:rsidRDefault="00750A80"/>
    <w:sectPr w:rsidR="001E41A3" w:rsidSect="007543B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80"/>
    <w:rsid w:val="00022F74"/>
    <w:rsid w:val="00047E54"/>
    <w:rsid w:val="000A736C"/>
    <w:rsid w:val="000E36CA"/>
    <w:rsid w:val="001B09A0"/>
    <w:rsid w:val="00310279"/>
    <w:rsid w:val="003F5BE2"/>
    <w:rsid w:val="0051395F"/>
    <w:rsid w:val="005140D7"/>
    <w:rsid w:val="0055182C"/>
    <w:rsid w:val="006158BD"/>
    <w:rsid w:val="006756CD"/>
    <w:rsid w:val="00727580"/>
    <w:rsid w:val="00750A80"/>
    <w:rsid w:val="007543B3"/>
    <w:rsid w:val="00976C89"/>
    <w:rsid w:val="00AA4453"/>
    <w:rsid w:val="00AB13CF"/>
    <w:rsid w:val="00B2194E"/>
    <w:rsid w:val="00BB4F97"/>
    <w:rsid w:val="00C54726"/>
    <w:rsid w:val="00D32C34"/>
    <w:rsid w:val="00DF327B"/>
    <w:rsid w:val="00ED76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7B9B64E"/>
  <w15:chartTrackingRefBased/>
  <w15:docId w15:val="{DFC6D5C7-9D1C-6141-8960-247281EF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0A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750A80"/>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750A80"/>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50A80"/>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750A80"/>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750A80"/>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750A80"/>
    <w:rPr>
      <w:color w:val="0000FF"/>
      <w:u w:val="single"/>
    </w:rPr>
  </w:style>
  <w:style w:type="character" w:customStyle="1" w:styleId="Overskrift1Tegn">
    <w:name w:val="Overskrift 1 Tegn"/>
    <w:basedOn w:val="Standardskrifttypeiafsnit"/>
    <w:link w:val="Overskrift1"/>
    <w:uiPriority w:val="9"/>
    <w:rsid w:val="00750A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tsinformation.dk/Forms/R0710.aspx?id=194856" TargetMode="External"/><Relationship Id="rId5" Type="http://schemas.openxmlformats.org/officeDocument/2006/relationships/hyperlink" Target="https://www.uvm.dk/gymnasiale-uddannelser/proever-og-eksamen/klager-over-proever" TargetMode="External"/><Relationship Id="rId4" Type="http://schemas.openxmlformats.org/officeDocument/2006/relationships/hyperlink" Target="https://www.retsinformation.dk/forms/r0710.aspx?id=17972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1335</Words>
  <Characters>8148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Bové Riisgaard</dc:creator>
  <cp:keywords/>
  <dc:description/>
  <cp:lastModifiedBy>Tina Bové Riisgaard</cp:lastModifiedBy>
  <cp:revision>1</cp:revision>
  <dcterms:created xsi:type="dcterms:W3CDTF">2019-09-02T14:39:00Z</dcterms:created>
  <dcterms:modified xsi:type="dcterms:W3CDTF">2019-09-02T14:40:00Z</dcterms:modified>
</cp:coreProperties>
</file>